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D281E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72236E" wp14:editId="6AC6115E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4B953E41" wp14:editId="37822E3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 wp14:anchorId="18349FD9" wp14:editId="35E4F87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400918" w:rsidRDefault="00400918" w:rsidP="00400918">
      <w:pPr>
        <w:jc w:val="center"/>
        <w:rPr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Default="00400918" w:rsidP="00400918">
      <w:pPr>
        <w:rPr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3C1EF7">
            <w:pPr>
              <w:jc w:val="both"/>
            </w:pPr>
            <w:r>
              <w:t>Analýza rizík nadlimitných zákaziek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Úrad vlády SR</w:t>
            </w:r>
          </w:p>
          <w:p w:rsidR="00400918" w:rsidRPr="00400918" w:rsidRDefault="00400918" w:rsidP="007D1165">
            <w:pPr>
              <w:jc w:val="both"/>
            </w:pPr>
            <w:r w:rsidRPr="00400918">
              <w:t>v súlade s </w:t>
            </w:r>
            <w:r w:rsidR="007D1165">
              <w:t>pod</w:t>
            </w:r>
            <w:r w:rsidRPr="00400918">
              <w:t xml:space="preserve">kapitolou </w:t>
            </w:r>
            <w:r w:rsidR="007D1165">
              <w:rPr>
                <w:rFonts w:cs="Minion Pro"/>
                <w:color w:val="000000"/>
                <w:sz w:val="22"/>
                <w:szCs w:val="22"/>
              </w:rPr>
              <w:t>3.3.7.4.1.1</w:t>
            </w:r>
            <w:r w:rsidRPr="00400918">
              <w:t>, Systému riadenia európskych štrukturálnych a 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F90A68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501F4" w:rsidP="003C6FB3">
                <w:pPr>
                  <w:jc w:val="both"/>
                </w:pPr>
                <w:r>
                  <w:t>30.11.2015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5501F4" w:rsidP="003C6FB3">
                <w:pPr>
                  <w:jc w:val="both"/>
                </w:pPr>
                <w:r>
                  <w:t>30.11.2015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Ing. Igor Federič</w:t>
            </w:r>
          </w:p>
          <w:p w:rsidR="00400918" w:rsidRPr="00400918" w:rsidRDefault="00400918" w:rsidP="00F90A68">
            <w:pPr>
              <w:jc w:val="both"/>
            </w:pPr>
            <w:r w:rsidRPr="00400918">
              <w:t>vedúci Úradu vlády SR</w:t>
            </w:r>
          </w:p>
        </w:tc>
      </w:tr>
    </w:tbl>
    <w:p w:rsidR="00400918" w:rsidRPr="00627EA3" w:rsidRDefault="00400918" w:rsidP="00400918"/>
    <w:p w:rsidR="00627EA3" w:rsidRPr="00627EA3" w:rsidRDefault="00627EA3" w:rsidP="006479DF"/>
    <w:p w:rsidR="00C31910" w:rsidRDefault="00C31910" w:rsidP="006479DF">
      <w:pPr>
        <w:sectPr w:rsidR="00C31910" w:rsidSect="00B5079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>Riziková analýza vychádza z 11</w:t>
      </w:r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 xml:space="preserve"> „</w:t>
      </w:r>
      <w:r w:rsidR="00FA34A4" w:rsidRPr="00FA34A4">
        <w:rPr>
          <w:b/>
          <w:i/>
        </w:rPr>
        <w:t xml:space="preserve">AR </w:t>
      </w:r>
      <w:r w:rsidR="00480B2C" w:rsidRPr="00480B2C">
        <w:rPr>
          <w:b/>
          <w:i/>
        </w:rPr>
        <w:t xml:space="preserve">nadlimitných </w:t>
      </w:r>
      <w:proofErr w:type="spellStart"/>
      <w:r w:rsidR="00480B2C" w:rsidRPr="00480B2C">
        <w:rPr>
          <w:b/>
          <w:i/>
        </w:rPr>
        <w:t>zákaziek</w:t>
      </w:r>
      <w:r w:rsidR="00FA34A4" w:rsidRPr="00FA34A4">
        <w:rPr>
          <w:b/>
          <w:i/>
        </w:rPr>
        <w:t>.xlsx</w:t>
      </w:r>
      <w:proofErr w:type="spellEnd"/>
      <w:r w:rsidR="00FA34A4">
        <w:t>“.</w:t>
      </w:r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516"/>
        <w:gridCol w:w="857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Počet predložených ponúk v rámci daného verejného obstarávania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3.</w:t>
            </w:r>
          </w:p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Počet </w:t>
            </w:r>
            <w:r w:rsidRPr="006067E6">
              <w:rPr>
                <w:color w:val="000000"/>
                <w:szCs w:val="20"/>
              </w:rPr>
              <w:t>žiadostí o účasť pri užšej súťaži/súťažnom dialógu/rokovacom konaní bolo doručených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27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28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Použitie kritéria</w:t>
            </w:r>
            <w:r w:rsidRPr="006067E6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Ekonomicky najvýhodnejšej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7.</w:t>
            </w:r>
          </w:p>
        </w:tc>
        <w:tc>
          <w:tcPr>
            <w:tcW w:w="8751" w:type="dxa"/>
          </w:tcPr>
          <w:p w:rsidR="006067E6" w:rsidRPr="00385B4D" w:rsidRDefault="006067E6" w:rsidP="005A6A89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Vylúčená ponuka</w:t>
            </w:r>
            <w:r w:rsidR="005A6A89">
              <w:rPr>
                <w:color w:val="000000"/>
                <w:szCs w:val="20"/>
              </w:rPr>
              <w:t xml:space="preserve"> / neprijatá ponuka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Došlo k vylúčeniu uchádzača z dôvodu mimoriadne nízkej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Revízne postupy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 xml:space="preserve">Bolo VO predmetom ex-ante </w:t>
            </w:r>
            <w:r>
              <w:rPr>
                <w:color w:val="000000"/>
                <w:szCs w:val="20"/>
              </w:rPr>
              <w:t xml:space="preserve">administratívnej kontroly verejného obstarávania 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Použitý postup v procese verejného obstarávania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56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937"/>
      </w:tblGrid>
      <w:tr w:rsidR="006A01FC" w:rsidRPr="006A01FC" w:rsidTr="00E421C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Rizikové kritérium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Hodnota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200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200 tisíc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1 milióna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75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E421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verejná súťaž, podlimitná zákazka, užšia súťaž, rokovacie konanie, súťažný dialóg, súťaž návrhov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E421C4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obrovoľné použitie </w:t>
            </w:r>
            <w:r w:rsidR="003C1EF7" w:rsidRPr="003C1EF7">
              <w:rPr>
                <w:rFonts w:ascii="Calibri" w:hAnsi="Calibri"/>
                <w:color w:val="000000"/>
                <w:sz w:val="22"/>
                <w:szCs w:val="22"/>
              </w:rPr>
              <w:t>zadávania podlimitnej zákazky podľa §100-102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žiadostí o účasť pri užšej súťaži/súťažnom dialógu/rokovacom konaní bolo doručených?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súťaž, rokovacie konanie, 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27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28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FA7E8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Použité kritérium</w:t>
            </w:r>
            <w:r w:rsidR="00FA7E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ekonomicky najvýhodnejšej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7D1165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Vylúčená</w:t>
            </w:r>
            <w:r w:rsidR="00721F1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/neprijatá ponuka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Došlo k vylúčeniu uchádzača z dôvodu mimoriadne nízkej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FA7E89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Bol zamietnutý uplatnený revízny postup žiadosti o nápravu? (bez následného rozhodnutia v predmete veci v rámci konania o námietkach – </w:t>
            </w:r>
            <w:r w:rsidRPr="00611EFA">
              <w:rPr>
                <w:rFonts w:ascii="Calibri" w:hAnsi="Calibri"/>
                <w:bCs/>
                <w:color w:val="000000"/>
                <w:sz w:val="20"/>
                <w:szCs w:val="20"/>
              </w:rPr>
              <w:t>netýka sa rozhodnutí procesných, napr. z titulu oneskoreného podania námietky a pod.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žiadosť o nápravu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konanie o námietkach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Bolo VO predmetom ex-ante kontroly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421C4" w:rsidRDefault="00FA7E89" w:rsidP="00E421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21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 w:rsidRPr="00E421C4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6A01FC" w:rsidRPr="00E421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Aký postup bol použitý pri tomto 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 xml:space="preserve">Verejná súťaž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 návrhov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Priame rokovacie konanie (</w:t>
            </w:r>
            <w:proofErr w:type="spellStart"/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RKbZ</w:t>
            </w:r>
            <w:proofErr w:type="spellEnd"/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Rokovacie konanie so zverejnením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3C1EF7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EF7" w:rsidRPr="006A01FC" w:rsidRDefault="003C1EF7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EF7" w:rsidRPr="006A01FC" w:rsidRDefault="003C1EF7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Dobrovoľné použitie </w:t>
            </w:r>
            <w:r w:rsidRPr="003C1EF7">
              <w:rPr>
                <w:rFonts w:ascii="Calibri" w:hAnsi="Calibri"/>
                <w:color w:val="000000"/>
                <w:sz w:val="22"/>
                <w:szCs w:val="22"/>
              </w:rPr>
              <w:t>zadávania podlimitnej zákazky podľa §100-102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3C1EF7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</w:t>
      </w:r>
      <w:bookmarkStart w:id="0" w:name="_GoBack"/>
      <w:bookmarkEnd w:id="0"/>
      <w:r w:rsidR="00FA34A4">
        <w:rPr>
          <w:szCs w:val="20"/>
        </w:rPr>
        <w:t>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5501F4" w:rsidRDefault="005501F4" w:rsidP="00130D3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30D30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FA7E89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viac</w:t>
            </w:r>
            <w:r w:rsidR="00130D30" w:rsidRPr="00130D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30D30" w:rsidRPr="00FA34A4" w:rsidRDefault="00130D30" w:rsidP="00385B4D">
      <w:pPr>
        <w:jc w:val="both"/>
        <w:rPr>
          <w:szCs w:val="20"/>
        </w:rPr>
      </w:pPr>
    </w:p>
    <w:sectPr w:rsidR="00130D30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17" w:rsidRDefault="00146C17" w:rsidP="00B948E0">
      <w:r>
        <w:separator/>
      </w:r>
    </w:p>
  </w:endnote>
  <w:endnote w:type="continuationSeparator" w:id="0">
    <w:p w:rsidR="00146C17" w:rsidRDefault="00146C1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441F2A" wp14:editId="1F6C524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99DDE64" wp14:editId="58695F5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D36391">
      <w:rPr>
        <w:noProof/>
      </w:rPr>
      <w:t>2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17" w:rsidRDefault="00146C17" w:rsidP="00B948E0">
      <w:r>
        <w:separator/>
      </w:r>
    </w:p>
  </w:footnote>
  <w:footnote w:type="continuationSeparator" w:id="0">
    <w:p w:rsidR="00146C17" w:rsidRDefault="00146C17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E5AC5F4" wp14:editId="6B68F9F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5501F4" w:rsidP="00400918">
        <w:pPr>
          <w:pStyle w:val="Hlavika"/>
          <w:jc w:val="right"/>
        </w:pPr>
        <w:r>
          <w:rPr>
            <w:szCs w:val="20"/>
          </w:rPr>
          <w:t>30.11.2015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0D30"/>
    <w:rsid w:val="001329B4"/>
    <w:rsid w:val="00142DEC"/>
    <w:rsid w:val="001456C1"/>
    <w:rsid w:val="0014641E"/>
    <w:rsid w:val="00146C17"/>
    <w:rsid w:val="00151544"/>
    <w:rsid w:val="0015233E"/>
    <w:rsid w:val="00157505"/>
    <w:rsid w:val="001624E8"/>
    <w:rsid w:val="00163A9A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5B4D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A6A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067E6"/>
    <w:rsid w:val="0061548B"/>
    <w:rsid w:val="00622D7A"/>
    <w:rsid w:val="00627A89"/>
    <w:rsid w:val="00627EA3"/>
    <w:rsid w:val="0063586E"/>
    <w:rsid w:val="0063733A"/>
    <w:rsid w:val="0063737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1F1C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33DE"/>
    <w:rsid w:val="00CB426C"/>
    <w:rsid w:val="00CB4790"/>
    <w:rsid w:val="00CB5AF2"/>
    <w:rsid w:val="00CC21DC"/>
    <w:rsid w:val="00CC24C7"/>
    <w:rsid w:val="00CC78CD"/>
    <w:rsid w:val="00CD3903"/>
    <w:rsid w:val="00CD3D13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7B13"/>
    <w:rsid w:val="00D71A7B"/>
    <w:rsid w:val="00D71BDB"/>
    <w:rsid w:val="00D72A59"/>
    <w:rsid w:val="00D77606"/>
    <w:rsid w:val="00D77B09"/>
    <w:rsid w:val="00D80CD9"/>
    <w:rsid w:val="00D86DA2"/>
    <w:rsid w:val="00D8753F"/>
    <w:rsid w:val="00D90CF6"/>
    <w:rsid w:val="00D93942"/>
    <w:rsid w:val="00D93A15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6E3"/>
    <w:rsid w:val="00DD699E"/>
    <w:rsid w:val="00DE1C26"/>
    <w:rsid w:val="00DE5542"/>
    <w:rsid w:val="00DF18AF"/>
    <w:rsid w:val="00DF1AAD"/>
    <w:rsid w:val="00E05F93"/>
    <w:rsid w:val="00E14804"/>
    <w:rsid w:val="00E313FD"/>
    <w:rsid w:val="00E34BF5"/>
    <w:rsid w:val="00E421C4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A34A4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330C4A"/>
    <w:rsid w:val="0055385D"/>
    <w:rsid w:val="005646D3"/>
    <w:rsid w:val="006D6FD1"/>
    <w:rsid w:val="008836A1"/>
    <w:rsid w:val="00A23AEA"/>
    <w:rsid w:val="00A55B9D"/>
    <w:rsid w:val="00A8128B"/>
    <w:rsid w:val="00A97ED8"/>
    <w:rsid w:val="00B4762A"/>
    <w:rsid w:val="00CA3E69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F8D5-C17C-404D-8F14-C03D2F20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565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9</cp:revision>
  <cp:lastPrinted>2015-11-30T12:27:00Z</cp:lastPrinted>
  <dcterms:created xsi:type="dcterms:W3CDTF">2015-11-02T16:42:00Z</dcterms:created>
  <dcterms:modified xsi:type="dcterms:W3CDTF">2015-11-30T13:22:00Z</dcterms:modified>
</cp:coreProperties>
</file>